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7" w:rsidRDefault="00866797" w:rsidP="007A1067">
      <w:pPr>
        <w:jc w:val="center"/>
        <w:rPr>
          <w:b/>
          <w:iCs/>
          <w:sz w:val="28"/>
          <w:szCs w:val="28"/>
        </w:rPr>
      </w:pPr>
      <w:r w:rsidRPr="007A1067">
        <w:rPr>
          <w:b/>
          <w:iCs/>
          <w:sz w:val="28"/>
          <w:szCs w:val="28"/>
        </w:rPr>
        <w:t>Условия договоров об оказании услуг по</w:t>
      </w:r>
      <w:r w:rsidR="007A1067">
        <w:rPr>
          <w:b/>
          <w:iCs/>
          <w:sz w:val="28"/>
          <w:szCs w:val="28"/>
        </w:rPr>
        <w:t xml:space="preserve"> передаче электрической энергии</w:t>
      </w:r>
    </w:p>
    <w:p w:rsidR="00C4083F" w:rsidRPr="00C4083F" w:rsidRDefault="00C4083F" w:rsidP="00C4083F">
      <w:pPr>
        <w:jc w:val="center"/>
        <w:rPr>
          <w:b/>
          <w:iCs/>
          <w:sz w:val="28"/>
          <w:szCs w:val="28"/>
        </w:rPr>
      </w:pPr>
      <w:r w:rsidRPr="00C4083F">
        <w:rPr>
          <w:b/>
          <w:iCs/>
          <w:sz w:val="28"/>
          <w:szCs w:val="28"/>
        </w:rPr>
        <w:t>ООО “Мордовская сетевая компания”</w:t>
      </w:r>
    </w:p>
    <w:p w:rsidR="00C4083F" w:rsidRPr="00C4083F" w:rsidRDefault="00C4083F" w:rsidP="00C4083F">
      <w:pPr>
        <w:jc w:val="center"/>
        <w:rPr>
          <w:iCs/>
        </w:rPr>
      </w:pPr>
      <w:proofErr w:type="gramStart"/>
      <w:r w:rsidRPr="00C4083F">
        <w:rPr>
          <w:iCs/>
        </w:rPr>
        <w:t>(в соответствии с подпунктом "д" пункта 11 стандартов раскрытия информации</w:t>
      </w:r>
      <w:proofErr w:type="gramEnd"/>
    </w:p>
    <w:p w:rsidR="00C4083F" w:rsidRPr="00C4083F" w:rsidRDefault="00C4083F" w:rsidP="00C4083F">
      <w:pPr>
        <w:jc w:val="center"/>
        <w:rPr>
          <w:iCs/>
        </w:rPr>
      </w:pPr>
      <w:r w:rsidRPr="00C4083F">
        <w:rPr>
          <w:iCs/>
        </w:rPr>
        <w:t xml:space="preserve"> субъектами  оптового и розничных рынков электрической энергии,                                                                                утвержденные Постановлением Правительства РФ от 21.01.2004 г. № 24)</w:t>
      </w:r>
    </w:p>
    <w:p w:rsidR="00866797" w:rsidRPr="007A1067" w:rsidRDefault="00866797" w:rsidP="00866797">
      <w:pPr>
        <w:rPr>
          <w:i/>
          <w:iCs/>
          <w:sz w:val="28"/>
          <w:szCs w:val="28"/>
        </w:rPr>
      </w:pPr>
    </w:p>
    <w:p w:rsidR="00866797" w:rsidRPr="0080125F" w:rsidRDefault="00866797" w:rsidP="0080125F">
      <w:pPr>
        <w:pStyle w:val="a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1067">
        <w:rPr>
          <w:rFonts w:ascii="Times New Roman" w:hAnsi="Times New Roman" w:cs="Times New Roman"/>
          <w:sz w:val="28"/>
          <w:szCs w:val="28"/>
        </w:rPr>
        <w:tab/>
      </w:r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В настоящее время порядок заключения и исполнения договоров оказания услуг по передаче электрической энергии на территории Российской Федерации регламентирован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2004 года № 861 (</w:t>
      </w:r>
      <w:r w:rsidR="0080125F"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ред. от 30.12.2022 г.) </w:t>
      </w:r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Правила). Указанные Правила были опубликованы в «Российской газете» от 19 января 2005 г. № 7, Собрании законодательства Российской Федерации от 27 декабря 2004 г. № 52.</w:t>
      </w:r>
    </w:p>
    <w:p w:rsidR="00866797" w:rsidRPr="007A1067" w:rsidRDefault="00866797" w:rsidP="00866797">
      <w:pPr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Договор оказания услуг по передаче электрической энергии является публичным.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</w:t>
      </w:r>
    </w:p>
    <w:p w:rsidR="00866797" w:rsidRPr="007A1067" w:rsidRDefault="00866797" w:rsidP="00866797">
      <w:pPr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866797" w:rsidRPr="007A1067" w:rsidRDefault="00866797" w:rsidP="00866797">
      <w:pPr>
        <w:ind w:firstLine="720"/>
        <w:rPr>
          <w:sz w:val="28"/>
          <w:szCs w:val="28"/>
        </w:rPr>
      </w:pPr>
      <w:r w:rsidRPr="007A1067">
        <w:rPr>
          <w:b/>
          <w:bCs/>
          <w:sz w:val="28"/>
          <w:szCs w:val="28"/>
        </w:rPr>
        <w:t>Существенными условиями</w:t>
      </w:r>
      <w:r w:rsidRPr="007A1067">
        <w:rPr>
          <w:sz w:val="28"/>
          <w:szCs w:val="28"/>
        </w:rPr>
        <w:t xml:space="preserve"> договора являются: 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bookmarkStart w:id="0" w:name="sub_1014"/>
      <w:r w:rsidRPr="0011487D">
        <w:rPr>
          <w:sz w:val="28"/>
          <w:szCs w:val="28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r w:rsidRPr="0011487D">
        <w:rPr>
          <w:sz w:val="28"/>
          <w:szCs w:val="28"/>
        </w:rPr>
        <w:t xml:space="preserve">б) срок осуществления мероприятий по технологическому присоединению, 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r w:rsidRPr="0011487D">
        <w:rPr>
          <w:sz w:val="28"/>
          <w:szCs w:val="28"/>
        </w:rPr>
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r w:rsidRPr="0011487D">
        <w:rPr>
          <w:sz w:val="28"/>
          <w:szCs w:val="28"/>
        </w:rP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proofErr w:type="gramStart"/>
      <w:r w:rsidRPr="0011487D">
        <w:rPr>
          <w:sz w:val="28"/>
          <w:szCs w:val="28"/>
        </w:rPr>
        <w:t>обязанность сторон договора при нарушении срока осуществления мероприятий по технологическому присоединению, предусмотренного договором (за исключением случаев нарушения выполнения технических условий заявителями, указанными в </w:t>
      </w:r>
      <w:hyperlink r:id="rId9" w:anchor="dst101304" w:history="1">
        <w:r w:rsidRPr="0011487D">
          <w:rPr>
            <w:rStyle w:val="ac"/>
            <w:color w:val="auto"/>
            <w:sz w:val="28"/>
            <w:szCs w:val="28"/>
            <w:u w:val="none"/>
          </w:rPr>
          <w:t>пунктах 12(1)</w:t>
        </w:r>
      </w:hyperlink>
      <w:r w:rsidRPr="0011487D">
        <w:rPr>
          <w:sz w:val="28"/>
          <w:szCs w:val="28"/>
        </w:rPr>
        <w:t>, </w:t>
      </w:r>
      <w:hyperlink r:id="rId10" w:anchor="dst2579" w:history="1">
        <w:r w:rsidRPr="0011487D">
          <w:rPr>
            <w:rStyle w:val="ac"/>
            <w:color w:val="auto"/>
            <w:sz w:val="28"/>
            <w:szCs w:val="28"/>
            <w:u w:val="none"/>
          </w:rPr>
          <w:t>13(2)</w:t>
        </w:r>
      </w:hyperlink>
      <w:r w:rsidRPr="0011487D">
        <w:rPr>
          <w:sz w:val="28"/>
          <w:szCs w:val="28"/>
        </w:rPr>
        <w:t> - </w:t>
      </w:r>
      <w:hyperlink r:id="rId11" w:anchor="dst2598" w:history="1">
        <w:r w:rsidRPr="0011487D">
          <w:rPr>
            <w:rStyle w:val="ac"/>
            <w:color w:val="auto"/>
            <w:sz w:val="28"/>
            <w:szCs w:val="28"/>
            <w:u w:val="none"/>
          </w:rPr>
          <w:t>13(5)</w:t>
        </w:r>
      </w:hyperlink>
      <w:r w:rsidRPr="0011487D">
        <w:rPr>
          <w:sz w:val="28"/>
          <w:szCs w:val="28"/>
        </w:rPr>
        <w:t> и </w:t>
      </w:r>
      <w:hyperlink r:id="rId12" w:anchor="dst101080" w:history="1">
        <w:r w:rsidRPr="0011487D">
          <w:rPr>
            <w:rStyle w:val="ac"/>
            <w:color w:val="auto"/>
            <w:sz w:val="28"/>
            <w:szCs w:val="28"/>
            <w:u w:val="none"/>
          </w:rPr>
          <w:t>14</w:t>
        </w:r>
      </w:hyperlink>
      <w:r w:rsidRPr="0011487D">
        <w:rPr>
          <w:sz w:val="28"/>
          <w:szCs w:val="28"/>
        </w:rPr>
        <w:t xml:space="preserve"> настоящих Правил, технологическое присоединение </w:t>
      </w:r>
      <w:proofErr w:type="spellStart"/>
      <w:r w:rsidRPr="0011487D">
        <w:rPr>
          <w:sz w:val="28"/>
          <w:szCs w:val="28"/>
        </w:rPr>
        <w:t>энергопринимающих</w:t>
      </w:r>
      <w:proofErr w:type="spellEnd"/>
      <w:r w:rsidRPr="0011487D">
        <w:rPr>
          <w:sz w:val="28"/>
          <w:szCs w:val="28"/>
        </w:rPr>
        <w:t xml:space="preserve"> устройств которых осуществляется на уровне напряжения 0,4 кВ и ниже), уплатить другой стороне договора неустойку, равную 0,25 процента общего размера платы за технологическое</w:t>
      </w:r>
      <w:proofErr w:type="gramEnd"/>
      <w:r w:rsidRPr="0011487D">
        <w:rPr>
          <w:sz w:val="28"/>
          <w:szCs w:val="28"/>
        </w:rPr>
        <w:t xml:space="preserve"> присоединение за каждый день просрочки,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просрочки;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r w:rsidRPr="0011487D">
        <w:rPr>
          <w:sz w:val="28"/>
          <w:szCs w:val="28"/>
        </w:rPr>
        <w:lastRenderedPageBreak/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proofErr w:type="gramStart"/>
      <w:r w:rsidRPr="0011487D">
        <w:rPr>
          <w:sz w:val="28"/>
          <w:szCs w:val="28"/>
        </w:rPr>
        <w:t>д) размер платы за технологическое присоединение, определяемый в соответствии с </w:t>
      </w:r>
      <w:hyperlink r:id="rId13" w:anchor="dst100017" w:history="1">
        <w:r w:rsidRPr="0011487D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Pr="0011487D">
        <w:rPr>
          <w:sz w:val="28"/>
          <w:szCs w:val="28"/>
        </w:rPr>
        <w:t> Российской Федерации в сфере электроэнергетики (при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особенностей, установленных </w:t>
      </w:r>
      <w:hyperlink r:id="rId14" w:anchor="dst38" w:history="1">
        <w:r w:rsidRPr="0011487D">
          <w:rPr>
            <w:rStyle w:val="ac"/>
            <w:color w:val="auto"/>
            <w:sz w:val="28"/>
            <w:szCs w:val="28"/>
            <w:u w:val="none"/>
          </w:rPr>
          <w:t>разделом III</w:t>
        </w:r>
      </w:hyperlink>
      <w:r w:rsidRPr="0011487D">
        <w:rPr>
          <w:sz w:val="28"/>
          <w:szCs w:val="28"/>
        </w:rPr>
        <w:t> настоящих Правил), за исключением случаев поэтапного технологического присоединения и оплаты, предусмотренных </w:t>
      </w:r>
      <w:hyperlink r:id="rId15" w:anchor="dst3126" w:history="1">
        <w:r w:rsidRPr="0011487D">
          <w:rPr>
            <w:rStyle w:val="ac"/>
            <w:color w:val="auto"/>
            <w:sz w:val="28"/>
            <w:szCs w:val="28"/>
            <w:u w:val="none"/>
          </w:rPr>
          <w:t>пунктом 17(1)</w:t>
        </w:r>
      </w:hyperlink>
      <w:r w:rsidRPr="0011487D">
        <w:rPr>
          <w:sz w:val="28"/>
          <w:szCs w:val="28"/>
        </w:rPr>
        <w:t> настоящих Правил;</w:t>
      </w:r>
      <w:proofErr w:type="gramEnd"/>
    </w:p>
    <w:p w:rsidR="0011487D" w:rsidRPr="0011487D" w:rsidRDefault="0011487D" w:rsidP="0011487D">
      <w:pPr>
        <w:pStyle w:val="ab"/>
        <w:shd w:val="clear" w:color="auto" w:fill="FFFFFF"/>
        <w:spacing w:before="21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 (1)</w:t>
      </w:r>
      <w:r w:rsidRPr="0011487D">
        <w:rPr>
          <w:sz w:val="28"/>
          <w:szCs w:val="28"/>
        </w:rPr>
        <w:t xml:space="preserve"> порядок определения размера платы при поэтапном технологическом присоединении и оплате в случаях, предусмотренных </w:t>
      </w:r>
      <w:hyperlink r:id="rId16" w:anchor="dst3126" w:history="1">
        <w:r w:rsidRPr="0011487D">
          <w:rPr>
            <w:rStyle w:val="ac"/>
            <w:color w:val="auto"/>
            <w:sz w:val="28"/>
            <w:szCs w:val="28"/>
            <w:u w:val="none"/>
          </w:rPr>
          <w:t>пунктом 17(1)</w:t>
        </w:r>
      </w:hyperlink>
      <w:r w:rsidRPr="0011487D">
        <w:rPr>
          <w:sz w:val="28"/>
          <w:szCs w:val="28"/>
        </w:rPr>
        <w:t> настоящих Правил (размер платы за технологическое присоединение определяется с учетом предусмотренных </w:t>
      </w:r>
      <w:hyperlink r:id="rId17" w:anchor="dst3126" w:history="1">
        <w:r w:rsidRPr="0011487D">
          <w:rPr>
            <w:rStyle w:val="ac"/>
            <w:color w:val="auto"/>
            <w:sz w:val="28"/>
            <w:szCs w:val="28"/>
            <w:u w:val="none"/>
          </w:rPr>
          <w:t>пунктом 17(1)</w:t>
        </w:r>
      </w:hyperlink>
      <w:r w:rsidRPr="0011487D">
        <w:rPr>
          <w:sz w:val="28"/>
          <w:szCs w:val="28"/>
        </w:rPr>
        <w:t> настоящих Правил особенностей, при этом в случае заключения договора на основании заявки, содержащей сведения, предусмотренные </w:t>
      </w:r>
      <w:hyperlink r:id="rId18" w:anchor="dst3101" w:history="1">
        <w:r w:rsidRPr="0011487D">
          <w:rPr>
            <w:rStyle w:val="ac"/>
            <w:color w:val="auto"/>
            <w:sz w:val="28"/>
            <w:szCs w:val="28"/>
            <w:u w:val="none"/>
          </w:rPr>
          <w:t>подпунктом "и(2)" пункта 9</w:t>
        </w:r>
      </w:hyperlink>
      <w:r w:rsidRPr="0011487D">
        <w:rPr>
          <w:sz w:val="28"/>
          <w:szCs w:val="28"/>
        </w:rPr>
        <w:t> настоящих Правил, условия о поэтапной оплате с учетом</w:t>
      </w:r>
      <w:proofErr w:type="gramEnd"/>
      <w:r w:rsidRPr="0011487D">
        <w:rPr>
          <w:sz w:val="28"/>
          <w:szCs w:val="28"/>
        </w:rPr>
        <w:t xml:space="preserve"> требований </w:t>
      </w:r>
      <w:hyperlink r:id="rId19" w:anchor="dst3126" w:history="1">
        <w:r w:rsidRPr="0011487D">
          <w:rPr>
            <w:rStyle w:val="ac"/>
            <w:color w:val="auto"/>
            <w:sz w:val="28"/>
            <w:szCs w:val="28"/>
            <w:u w:val="none"/>
          </w:rPr>
          <w:t>пункта 17(1)</w:t>
        </w:r>
      </w:hyperlink>
      <w:r w:rsidRPr="0011487D">
        <w:rPr>
          <w:sz w:val="28"/>
          <w:szCs w:val="28"/>
        </w:rPr>
        <w:t> настоящих Правил включаются в договор по согласованию с сетевой организацией);</w:t>
      </w:r>
    </w:p>
    <w:p w:rsidR="0011487D" w:rsidRPr="0011487D" w:rsidRDefault="0011487D" w:rsidP="0011487D">
      <w:pPr>
        <w:ind w:firstLine="709"/>
        <w:jc w:val="both"/>
        <w:rPr>
          <w:sz w:val="28"/>
          <w:szCs w:val="28"/>
        </w:rPr>
      </w:pPr>
      <w:proofErr w:type="gramStart"/>
      <w:r w:rsidRPr="0011487D">
        <w:rPr>
          <w:sz w:val="28"/>
          <w:szCs w:val="28"/>
        </w:rPr>
        <w:t>е) порядок и сроки внесения заявителем платы за технологическое присоединение (в случаях, предусмотренных </w:t>
      </w:r>
      <w:hyperlink r:id="rId20" w:anchor="dst3126" w:history="1">
        <w:r w:rsidRPr="0011487D">
          <w:rPr>
            <w:rStyle w:val="ac"/>
            <w:color w:val="auto"/>
            <w:sz w:val="28"/>
            <w:szCs w:val="28"/>
            <w:u w:val="none"/>
          </w:rPr>
          <w:t>пунктом 17(1)</w:t>
        </w:r>
      </w:hyperlink>
      <w:r w:rsidRPr="0011487D">
        <w:rPr>
          <w:sz w:val="28"/>
          <w:szCs w:val="28"/>
        </w:rPr>
        <w:t> настоящих Правил, договором предусматривается определяемый по соглашению сторон график поэтапного внесения платы,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</w:t>
      </w:r>
      <w:bookmarkStart w:id="1" w:name="_GoBack"/>
      <w:bookmarkEnd w:id="1"/>
      <w:r w:rsidRPr="0011487D">
        <w:rPr>
          <w:sz w:val="28"/>
          <w:szCs w:val="28"/>
        </w:rPr>
        <w:t>кому присоединению на каждом из этапов осуществления таких мероприятий);</w:t>
      </w:r>
      <w:proofErr w:type="gramEnd"/>
    </w:p>
    <w:p w:rsidR="0011487D" w:rsidRDefault="0011487D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При исполнении договора </w:t>
      </w:r>
      <w:r w:rsidRPr="007A1067">
        <w:rPr>
          <w:b/>
          <w:bCs/>
          <w:sz w:val="28"/>
          <w:szCs w:val="28"/>
        </w:rPr>
        <w:t>потребитель</w:t>
      </w:r>
      <w:r w:rsidRPr="007A1067">
        <w:rPr>
          <w:sz w:val="28"/>
          <w:szCs w:val="28"/>
        </w:rPr>
        <w:t xml:space="preserve"> услуг </w:t>
      </w:r>
      <w:r w:rsidRPr="007A1067">
        <w:rPr>
          <w:b/>
          <w:bCs/>
          <w:sz w:val="28"/>
          <w:szCs w:val="28"/>
        </w:rPr>
        <w:t>обязан: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41"/>
      <w:bookmarkEnd w:id="0"/>
      <w:r w:rsidRPr="007A1067">
        <w:rPr>
          <w:sz w:val="28"/>
          <w:szCs w:val="28"/>
        </w:rPr>
        <w:t>а) соблюдать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б) оплачивать услуги сетевой организации по передаче электрической энергии в размере и сроки, которые определены </w:t>
      </w:r>
      <w:hyperlink w:anchor="sub_10151" w:history="1">
        <w:r w:rsidRPr="007A1067">
          <w:rPr>
            <w:sz w:val="28"/>
            <w:szCs w:val="28"/>
          </w:rPr>
          <w:t>пунктами 15.1</w:t>
        </w:r>
      </w:hyperlink>
      <w:r w:rsidRPr="007A1067">
        <w:rPr>
          <w:sz w:val="28"/>
          <w:szCs w:val="28"/>
        </w:rPr>
        <w:t xml:space="preserve"> и </w:t>
      </w:r>
      <w:hyperlink w:anchor="sub_10152" w:history="1">
        <w:r w:rsidRPr="007A1067">
          <w:rPr>
            <w:sz w:val="28"/>
            <w:szCs w:val="28"/>
          </w:rPr>
          <w:t>15.2</w:t>
        </w:r>
      </w:hyperlink>
      <w:r w:rsidRPr="007A1067">
        <w:rPr>
          <w:sz w:val="28"/>
          <w:szCs w:val="28"/>
        </w:rPr>
        <w:t xml:space="preserve"> Правил;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>в)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7A1067">
        <w:rPr>
          <w:sz w:val="28"/>
          <w:szCs w:val="2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7A1067">
        <w:rPr>
          <w:sz w:val="28"/>
          <w:szCs w:val="28"/>
        </w:rPr>
        <w:t>внерегламентных</w:t>
      </w:r>
      <w:proofErr w:type="spellEnd"/>
      <w:r w:rsidRPr="007A1067">
        <w:rPr>
          <w:sz w:val="28"/>
          <w:szCs w:val="2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г) осуществлять эксплуатацию принадлежащих ему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д)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</w:t>
      </w:r>
      <w:r w:rsidRPr="007A1067">
        <w:rPr>
          <w:sz w:val="28"/>
          <w:szCs w:val="28"/>
        </w:rPr>
        <w:lastRenderedPageBreak/>
        <w:t>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  <w:proofErr w:type="gramEnd"/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е) 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 (групп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ж)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</w:t>
      </w:r>
      <w:hyperlink r:id="rId21" w:history="1">
        <w:r w:rsidRPr="007A1067">
          <w:rPr>
            <w:sz w:val="28"/>
            <w:szCs w:val="28"/>
          </w:rPr>
          <w:t>законодательством</w:t>
        </w:r>
      </w:hyperlink>
      <w:r w:rsidRPr="007A1067">
        <w:rPr>
          <w:sz w:val="28"/>
          <w:szCs w:val="28"/>
        </w:rPr>
        <w:t xml:space="preserve">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з)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к)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м) обеспечивать соблюдение установленного в договоре в соответствии с законодательством Российской </w:t>
      </w:r>
      <w:proofErr w:type="gramStart"/>
      <w:r w:rsidRPr="007A1067">
        <w:rPr>
          <w:sz w:val="28"/>
          <w:szCs w:val="28"/>
        </w:rPr>
        <w:t>Федерации порядка взаимодействия сторон договора</w:t>
      </w:r>
      <w:proofErr w:type="gramEnd"/>
      <w:r w:rsidRPr="007A1067">
        <w:rPr>
          <w:sz w:val="28"/>
          <w:szCs w:val="28"/>
        </w:rPr>
        <w:t xml:space="preserve"> в процессе учета электрической энергии (мощности) с использованием приборов учета, в том числе в части: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допуска установленного прибора учета в эксплуатацию;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эксплуатации прибора учета, в том числе обеспечение поверки прибора </w:t>
      </w:r>
      <w:proofErr w:type="gramStart"/>
      <w:r w:rsidRPr="007A1067">
        <w:rPr>
          <w:sz w:val="28"/>
          <w:szCs w:val="28"/>
        </w:rPr>
        <w:t>учета</w:t>
      </w:r>
      <w:proofErr w:type="gramEnd"/>
      <w:r w:rsidRPr="007A1067">
        <w:rPr>
          <w:sz w:val="28"/>
          <w:szCs w:val="28"/>
        </w:rPr>
        <w:t xml:space="preserve"> по истечении установленного для него межповерочного интервала;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передачи данных приборов учета, если по условиям договора такая обязанность возложена на потребителя услуг;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сообщения о выходе прибора учета из эксплуатации;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н) 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</w:t>
      </w:r>
      <w:r w:rsidRPr="007A1067">
        <w:rPr>
          <w:sz w:val="28"/>
          <w:szCs w:val="28"/>
        </w:rPr>
        <w:lastRenderedPageBreak/>
        <w:t>технологического процесса при введении ограничения режима потребления электрической энергии;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о) обеспечивать проведение замеров на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устройствах (объектах электроэнергетики), в отношении которых заключен договор, и предоставлять сетевой организации информацию о результатах проведенных замеров в течение 3 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</w:t>
      </w:r>
      <w:proofErr w:type="gramEnd"/>
      <w:r w:rsidRPr="007A1067">
        <w:rPr>
          <w:sz w:val="28"/>
          <w:szCs w:val="28"/>
        </w:rPr>
        <w:t xml:space="preserve"> внеочередных замеров с учетом периодичности таких замеров, установленной </w:t>
      </w:r>
      <w:hyperlink r:id="rId22" w:history="1">
        <w:r w:rsidRPr="007A1067">
          <w:rPr>
            <w:sz w:val="28"/>
            <w:szCs w:val="28"/>
          </w:rPr>
          <w:t>законодательством</w:t>
        </w:r>
      </w:hyperlink>
      <w:r w:rsidRPr="007A1067">
        <w:rPr>
          <w:sz w:val="28"/>
          <w:szCs w:val="28"/>
        </w:rPr>
        <w:t xml:space="preserve"> 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п) обеспечить предоставление проекта акта согласования технологической и (или) аварийной брони в адрес сетевой организации в течение 30 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23" w:history="1">
        <w:r w:rsidRPr="007A1067">
          <w:rPr>
            <w:sz w:val="28"/>
            <w:szCs w:val="28"/>
          </w:rPr>
          <w:t>приложении</w:t>
        </w:r>
      </w:hyperlink>
      <w:r w:rsidRPr="007A1067">
        <w:rPr>
          <w:sz w:val="28"/>
          <w:szCs w:val="28"/>
        </w:rPr>
        <w:t xml:space="preserve"> к Правилам полного и (или) частичного ограничения режима потребления электрической</w:t>
      </w:r>
      <w:proofErr w:type="gramEnd"/>
      <w:r w:rsidRPr="007A1067">
        <w:rPr>
          <w:sz w:val="28"/>
          <w:szCs w:val="28"/>
        </w:rPr>
        <w:t xml:space="preserve"> энергии, отсутствовал акт согласования технологической и (или) аварийной брони, или в течение 30 дней </w:t>
      </w:r>
      <w:proofErr w:type="gramStart"/>
      <w:r w:rsidRPr="007A1067">
        <w:rPr>
          <w:sz w:val="28"/>
          <w:szCs w:val="28"/>
        </w:rPr>
        <w:t>с даты возникновения</w:t>
      </w:r>
      <w:proofErr w:type="gramEnd"/>
      <w:r w:rsidRPr="007A1067">
        <w:rPr>
          <w:sz w:val="28"/>
          <w:szCs w:val="28"/>
        </w:rPr>
        <w:t xml:space="preserve"> установленных настоящими Правилами оснований для изменения такого акта.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3" w:name="sub_1015"/>
      <w:bookmarkEnd w:id="2"/>
      <w:r w:rsidRPr="007A1067">
        <w:rPr>
          <w:sz w:val="28"/>
          <w:szCs w:val="28"/>
        </w:rPr>
        <w:t xml:space="preserve">При исполнении договора </w:t>
      </w:r>
      <w:r w:rsidRPr="007A1067">
        <w:rPr>
          <w:b/>
          <w:bCs/>
          <w:sz w:val="28"/>
          <w:szCs w:val="28"/>
        </w:rPr>
        <w:t>сетевая организация обязана:</w:t>
      </w:r>
    </w:p>
    <w:bookmarkEnd w:id="3"/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а)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б) своевременно информировать другую сторону договора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в)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энергии.</w:t>
      </w:r>
    </w:p>
    <w:p w:rsidR="003A67C1" w:rsidRPr="007A1067" w:rsidRDefault="003A67C1" w:rsidP="003A67C1">
      <w:pPr>
        <w:rPr>
          <w:sz w:val="28"/>
          <w:szCs w:val="28"/>
        </w:rPr>
      </w:pPr>
    </w:p>
    <w:p w:rsidR="000B68B6" w:rsidRPr="007A1067" w:rsidRDefault="000B68B6" w:rsidP="000B6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1"/>
      <w:bookmarkStart w:id="5" w:name="sub_40161"/>
    </w:p>
    <w:p w:rsidR="000B68B6" w:rsidRPr="007A1067" w:rsidRDefault="000B68B6" w:rsidP="000B6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bookmarkEnd w:id="5"/>
    <w:p w:rsidR="00B7351F" w:rsidRPr="007A1067" w:rsidRDefault="000B68B6" w:rsidP="00B7351F">
      <w:pPr>
        <w:rPr>
          <w:sz w:val="28"/>
          <w:szCs w:val="28"/>
        </w:rPr>
      </w:pPr>
      <w:r w:rsidRPr="007A1067">
        <w:rPr>
          <w:sz w:val="28"/>
          <w:szCs w:val="28"/>
        </w:rPr>
        <w:t xml:space="preserve">   </w:t>
      </w:r>
    </w:p>
    <w:p w:rsidR="00B0240B" w:rsidRPr="007A1067" w:rsidRDefault="00B0240B" w:rsidP="000B68B6">
      <w:pPr>
        <w:rPr>
          <w:sz w:val="28"/>
          <w:szCs w:val="28"/>
        </w:rPr>
      </w:pPr>
    </w:p>
    <w:sectPr w:rsidR="00B0240B" w:rsidRPr="007A1067" w:rsidSect="002A2BC3">
      <w:footerReference w:type="default" r:id="rId24"/>
      <w:pgSz w:w="11906" w:h="16838"/>
      <w:pgMar w:top="567" w:right="567" w:bottom="567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BB" w:rsidRDefault="00D73ABB" w:rsidP="001D7446">
      <w:r>
        <w:separator/>
      </w:r>
    </w:p>
  </w:endnote>
  <w:endnote w:type="continuationSeparator" w:id="0">
    <w:p w:rsidR="00D73ABB" w:rsidRDefault="00D73ABB" w:rsidP="001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187"/>
    </w:sdtPr>
    <w:sdtEndPr/>
    <w:sdtContent>
      <w:p w:rsidR="00884219" w:rsidRDefault="00432474">
        <w:pPr>
          <w:pStyle w:val="a6"/>
          <w:jc w:val="right"/>
        </w:pPr>
        <w:r>
          <w:fldChar w:fldCharType="begin"/>
        </w:r>
        <w:r w:rsidR="00A212E3">
          <w:instrText xml:space="preserve"> PAGE   \* MERGEFORMAT </w:instrText>
        </w:r>
        <w:r>
          <w:fldChar w:fldCharType="separate"/>
        </w:r>
        <w:r w:rsidR="002A2B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107E" w:rsidRPr="00236E14" w:rsidRDefault="00D73ABB" w:rsidP="00236E14">
    <w:pPr>
      <w:spacing w:line="360" w:lineRule="auto"/>
      <w:jc w:val="both"/>
      <w:rPr>
        <w:color w:val="808080" w:themeColor="background1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BB" w:rsidRDefault="00D73ABB" w:rsidP="001D7446">
      <w:r>
        <w:separator/>
      </w:r>
    </w:p>
  </w:footnote>
  <w:footnote w:type="continuationSeparator" w:id="0">
    <w:p w:rsidR="00D73ABB" w:rsidRDefault="00D73ABB" w:rsidP="001D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961"/>
    <w:multiLevelType w:val="hybridMultilevel"/>
    <w:tmpl w:val="FB5821DC"/>
    <w:lvl w:ilvl="0" w:tplc="55DA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7C1"/>
    <w:rsid w:val="00005645"/>
    <w:rsid w:val="000B68B6"/>
    <w:rsid w:val="000F181B"/>
    <w:rsid w:val="000F21AF"/>
    <w:rsid w:val="0011487D"/>
    <w:rsid w:val="001D7446"/>
    <w:rsid w:val="001E4161"/>
    <w:rsid w:val="001F6C97"/>
    <w:rsid w:val="00236E14"/>
    <w:rsid w:val="002719E6"/>
    <w:rsid w:val="00294F06"/>
    <w:rsid w:val="002965C7"/>
    <w:rsid w:val="002A2BC3"/>
    <w:rsid w:val="003A47F1"/>
    <w:rsid w:val="003A67C1"/>
    <w:rsid w:val="003B3C10"/>
    <w:rsid w:val="003B57D5"/>
    <w:rsid w:val="003C6615"/>
    <w:rsid w:val="00405F3C"/>
    <w:rsid w:val="00432474"/>
    <w:rsid w:val="00476320"/>
    <w:rsid w:val="005818D5"/>
    <w:rsid w:val="005B6F5F"/>
    <w:rsid w:val="006A43A3"/>
    <w:rsid w:val="007A1067"/>
    <w:rsid w:val="0080125F"/>
    <w:rsid w:val="00806CC9"/>
    <w:rsid w:val="0084786F"/>
    <w:rsid w:val="00861FD7"/>
    <w:rsid w:val="00866797"/>
    <w:rsid w:val="00884219"/>
    <w:rsid w:val="008A0595"/>
    <w:rsid w:val="00913BA5"/>
    <w:rsid w:val="009B26A8"/>
    <w:rsid w:val="00A212E3"/>
    <w:rsid w:val="00A27908"/>
    <w:rsid w:val="00A316B0"/>
    <w:rsid w:val="00AE58D9"/>
    <w:rsid w:val="00B0240B"/>
    <w:rsid w:val="00B07353"/>
    <w:rsid w:val="00B45B98"/>
    <w:rsid w:val="00B7351F"/>
    <w:rsid w:val="00BE47CD"/>
    <w:rsid w:val="00C4083F"/>
    <w:rsid w:val="00C865C1"/>
    <w:rsid w:val="00CB15EB"/>
    <w:rsid w:val="00D1272B"/>
    <w:rsid w:val="00D516EB"/>
    <w:rsid w:val="00D73ABB"/>
    <w:rsid w:val="00DD11A8"/>
    <w:rsid w:val="00DF3043"/>
    <w:rsid w:val="00DF57BB"/>
    <w:rsid w:val="00E07881"/>
    <w:rsid w:val="00E07CB3"/>
    <w:rsid w:val="00EE56D3"/>
    <w:rsid w:val="00EF5ED0"/>
    <w:rsid w:val="00F02B90"/>
    <w:rsid w:val="00F6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E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36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14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basedOn w:val="a0"/>
    <w:rsid w:val="00236E14"/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B68B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styleId="a9">
    <w:name w:val="Balloon Text"/>
    <w:basedOn w:val="a"/>
    <w:link w:val="aa"/>
    <w:uiPriority w:val="99"/>
    <w:semiHidden/>
    <w:unhideWhenUsed/>
    <w:rsid w:val="00866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79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1487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11487D"/>
    <w:rPr>
      <w:color w:val="0000FF"/>
      <w:u w:val="single"/>
    </w:rPr>
  </w:style>
  <w:style w:type="paragraph" w:customStyle="1" w:styleId="no-indent">
    <w:name w:val="no-indent"/>
    <w:basedOn w:val="a"/>
    <w:rsid w:val="001148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E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36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14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basedOn w:val="a0"/>
    <w:rsid w:val="00236E14"/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B68B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styleId="a9">
    <w:name w:val="Balloon Text"/>
    <w:basedOn w:val="a"/>
    <w:link w:val="aa"/>
    <w:uiPriority w:val="99"/>
    <w:semiHidden/>
    <w:unhideWhenUsed/>
    <w:rsid w:val="00866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4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24858/7c4e27142fcc98e5a262c1542710943384e5465d/" TargetMode="External"/><Relationship Id="rId18" Type="http://schemas.openxmlformats.org/officeDocument/2006/relationships/hyperlink" Target="https://www.consultant.ru/document/cons_doc_LAW_438149/4637712f183997da3eb38456496bc4c91b0fef7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85656.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38149/4637712f183997da3eb38456496bc4c91b0fef7a/" TargetMode="External"/><Relationship Id="rId17" Type="http://schemas.openxmlformats.org/officeDocument/2006/relationships/hyperlink" Target="https://www.consultant.ru/document/cons_doc_LAW_438149/4637712f183997da3eb38456496bc4c91b0fef7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8149/4637712f183997da3eb38456496bc4c91b0fef7a/" TargetMode="External"/><Relationship Id="rId20" Type="http://schemas.openxmlformats.org/officeDocument/2006/relationships/hyperlink" Target="https://www.consultant.ru/document/cons_doc_LAW_438149/4637712f183997da3eb38456496bc4c91b0fef7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8149/4637712f183997da3eb38456496bc4c91b0fef7a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38149/4637712f183997da3eb38456496bc4c91b0fef7a/" TargetMode="External"/><Relationship Id="rId23" Type="http://schemas.openxmlformats.org/officeDocument/2006/relationships/hyperlink" Target="garantF1://70083216.4287" TargetMode="External"/><Relationship Id="rId10" Type="http://schemas.openxmlformats.org/officeDocument/2006/relationships/hyperlink" Target="https://www.consultant.ru/document/cons_doc_LAW_438149/4637712f183997da3eb38456496bc4c91b0fef7a/" TargetMode="External"/><Relationship Id="rId19" Type="http://schemas.openxmlformats.org/officeDocument/2006/relationships/hyperlink" Target="https://www.consultant.ru/document/cons_doc_LAW_438149/4637712f183997da3eb38456496bc4c91b0fef7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8149/4637712f183997da3eb38456496bc4c91b0fef7a/" TargetMode="External"/><Relationship Id="rId14" Type="http://schemas.openxmlformats.org/officeDocument/2006/relationships/hyperlink" Target="https://www.consultant.ru/document/cons_doc_LAW_438149/6ee077dc40bbb1fb9f8426058432b5773e0f6fe2/" TargetMode="External"/><Relationship Id="rId22" Type="http://schemas.openxmlformats.org/officeDocument/2006/relationships/hyperlink" Target="garantF1://85656.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65F9-3BF6-4332-816F-19258417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Podgornov</dc:creator>
  <cp:lastModifiedBy>1</cp:lastModifiedBy>
  <cp:revision>8</cp:revision>
  <cp:lastPrinted>2016-11-10T08:21:00Z</cp:lastPrinted>
  <dcterms:created xsi:type="dcterms:W3CDTF">2016-11-10T08:22:00Z</dcterms:created>
  <dcterms:modified xsi:type="dcterms:W3CDTF">2024-02-29T10:08:00Z</dcterms:modified>
</cp:coreProperties>
</file>